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6364605</wp:posOffset>
                </wp:positionH>
                <wp:positionV relativeFrom="paragraph">
                  <wp:posOffset>12700</wp:posOffset>
                </wp:positionV>
                <wp:extent cx="951230" cy="12827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5123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KEO4 1.13.1 UR006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01.15000000000003pt;margin-top:1.pt;width:74.900000000000006pt;height:10.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KEO4 1.13.1 UR006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</w:rPr>
        <w:t>Obec Svatojanský Újezd, IČO 00578606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4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5"/>
          <w:sz w:val="22"/>
          <w:szCs w:val="22"/>
        </w:rPr>
        <w:t>Rozpočtové změny s důvodovou zprávou</w:t>
      </w:r>
    </w:p>
    <w:p>
      <w:pPr>
        <w:pStyle w:val="Style7"/>
        <w:keepNext w:val="0"/>
        <w:keepLines w:val="0"/>
        <w:widowControl w:val="0"/>
        <w:pBdr>
          <w:top w:val="single" w:sz="0" w:space="5" w:color="DADADA"/>
          <w:left w:val="single" w:sz="0" w:space="0" w:color="DADADA"/>
          <w:bottom w:val="single" w:sz="0" w:space="5" w:color="DADADA"/>
          <w:right w:val="single" w:sz="0" w:space="0" w:color="DADADA"/>
        </w:pBdr>
        <w:shd w:val="clear" w:color="auto" w:fill="DADADA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Schválené rozpočtové opatření č. 6/2024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rStyle w:val="CharStyle3"/>
        </w:rPr>
        <w:t>Starosta schválil úpravy rozpočtu: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Výdaje</w:t>
      </w:r>
    </w:p>
    <w:tbl>
      <w:tblPr>
        <w:tblOverlap w:val="never"/>
        <w:jc w:val="center"/>
        <w:tblLayout w:type="fixed"/>
      </w:tblPr>
      <w:tblGrid>
        <w:gridCol w:w="1882"/>
        <w:gridCol w:w="600"/>
        <w:gridCol w:w="816"/>
        <w:gridCol w:w="677"/>
        <w:gridCol w:w="1661"/>
        <w:gridCol w:w="1358"/>
        <w:gridCol w:w="1234"/>
        <w:gridCol w:w="2914"/>
      </w:tblGrid>
      <w:tr>
        <w:trPr>
          <w:trHeight w:val="24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3745 5169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 3745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115 300,00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115 300,00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200 000,00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315 300,00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315 300,00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Nákup ostatních služeb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Péče o vzhled obcí a veřejnou zeleň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Výdaje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115 300,00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315 300,00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Financování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 xml:space="preserve">Par Po/ </w:t>
            </w: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N+Z+Uz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ZJ MU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Původní hodnota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Změna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Po změně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Název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88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8115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Celkem za Par: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6 379 450,00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6 379 450,00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200 000,00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6 579 450,00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6 579 450,00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sz w:val="16"/>
                <w:szCs w:val="16"/>
              </w:rPr>
              <w:t>Změny stavu krátkodobých prostředků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Financování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6 379 450,00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sz w:val="16"/>
                <w:szCs w:val="16"/>
              </w:rPr>
              <w:t>6 579 450,00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5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Změna závazných ukazatelů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8"/>
          <w:b/>
          <w:bCs/>
          <w:sz w:val="26"/>
          <w:szCs w:val="26"/>
        </w:rPr>
        <w:t>Výdaje</w:t>
      </w:r>
    </w:p>
    <w:tbl>
      <w:tblPr>
        <w:tblOverlap w:val="never"/>
        <w:jc w:val="center"/>
        <w:tblLayout w:type="fixed"/>
      </w:tblPr>
      <w:tblGrid>
        <w:gridCol w:w="1824"/>
        <w:gridCol w:w="394"/>
        <w:gridCol w:w="672"/>
        <w:gridCol w:w="725"/>
        <w:gridCol w:w="854"/>
        <w:gridCol w:w="1536"/>
        <w:gridCol w:w="1450"/>
        <w:gridCol w:w="3686"/>
      </w:tblGrid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Uz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3745 XXXX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891000,00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1091000,00 Péče o vzhled obcí a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Výdaje 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1"/>
                <w:b/>
                <w:bCs/>
              </w:rPr>
              <w:t>891 000,00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1091000,00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Style w:val="CharStyle11"/>
                <w:b/>
                <w:bCs/>
                <w:sz w:val="26"/>
                <w:szCs w:val="26"/>
              </w:rPr>
              <w:t>Financování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Par Pol Nst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Zdr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Uz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1"/>
                <w:b/>
                <w:bCs/>
                <w:i/>
                <w:iCs/>
                <w:sz w:val="16"/>
                <w:szCs w:val="16"/>
              </w:rPr>
              <w:t>org2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1"/>
                <w:b/>
                <w:bCs/>
                <w:i/>
                <w:iCs/>
              </w:rPr>
              <w:t>Původní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Změna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1"/>
                <w:b/>
                <w:bCs/>
                <w:i/>
                <w:iCs/>
              </w:rPr>
              <w:t>Pozměně Název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11"/>
                <w:b/>
                <w:bCs/>
              </w:rPr>
              <w:t>0000 8XXX 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 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1"/>
                <w:b/>
                <w:bCs/>
              </w:rPr>
              <w:t>XXXXX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6 379 450,00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200 000,00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6 579 450,00 FINANCOVÁNÍ</w:t>
            </w:r>
          </w:p>
        </w:tc>
      </w:tr>
      <w:tr>
        <w:trPr>
          <w:trHeight w:val="293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1"/>
                <w:b/>
                <w:bCs/>
              </w:rPr>
              <w:t>Financování celkem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11"/>
                <w:b/>
                <w:bCs/>
              </w:rPr>
              <w:t>6 379 450,00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1"/>
                <w:b/>
                <w:bCs/>
              </w:rPr>
              <w:t>200 000,00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1"/>
                <w:b/>
                <w:bCs/>
              </w:rPr>
              <w:t>6 579 450,00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</w:pPr>
      <w:r>
        <w:rPr>
          <w:rStyle w:val="CharStyle5"/>
          <w:b/>
          <w:bCs/>
        </w:rPr>
        <w:t>Důvodová zpráva k rozpočtovému opatření č. 6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V souladu s ustanovením § 16 zákona č.250/2000 Sb., o rozpočtových pravidlech územních rozpočtů dojde k rozpočtovému opatření v případě změn rozpočtových prostředků na závazných ukazatelích (např. změna objemu nebo přesuny mezi ukazateli).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Zastupitelstvu bylo dáno na vědomí na nejbližším zasedání.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18"/>
        </w:rPr>
        <w:t>Zpracoval: Marie Vinklerová dne: 16.07.2024</w:t>
      </w:r>
    </w:p>
    <w:sectPr>
      <w:footnotePr>
        <w:pos w:val="pageBottom"/>
        <w:numFmt w:val="decimal"/>
        <w:numRestart w:val="continuous"/>
      </w:footnotePr>
      <w:pgSz w:w="11900" w:h="16840"/>
      <w:pgMar w:top="380" w:right="380" w:bottom="759" w:left="38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DejaVu Sans" w:eastAsia="DejaVu Sans" w:hAnsi="DejaVu Sans" w:cs="DejaVu San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  <w:spacing w:after="87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2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Rozpoctove_zmeny_s_duvodovou_zpravou2921465252667601085.pdf</dc:title>
  <dc:subject/>
  <dc:creator>Marie Vinklerová</dc:creator>
  <cp:keywords/>
</cp:coreProperties>
</file>