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6364605</wp:posOffset>
                </wp:positionH>
                <wp:positionV relativeFrom="paragraph">
                  <wp:posOffset>12700</wp:posOffset>
                </wp:positionV>
                <wp:extent cx="95123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1.13.3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1.15000000000003pt;margin-top:1.pt;width:74.900000000000006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1.13.3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8/2024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rStyle w:val="CharStyle3"/>
        </w:rPr>
        <w:t>Starosta schválil úpravy rozpočtu:</w:t>
      </w:r>
    </w:p>
    <w:tbl>
      <w:tblPr>
        <w:tblOverlap w:val="never"/>
        <w:jc w:val="center"/>
        <w:tblLayout w:type="fixed"/>
      </w:tblPr>
      <w:tblGrid>
        <w:gridCol w:w="1373"/>
        <w:gridCol w:w="509"/>
        <w:gridCol w:w="538"/>
        <w:gridCol w:w="907"/>
        <w:gridCol w:w="648"/>
        <w:gridCol w:w="1709"/>
        <w:gridCol w:w="1378"/>
        <w:gridCol w:w="1166"/>
        <w:gridCol w:w="2914"/>
      </w:tblGrid>
      <w:tr>
        <w:trPr>
          <w:trHeight w:val="61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0"/>
                <w:b/>
                <w:bCs/>
                <w:sz w:val="26"/>
                <w:szCs w:val="26"/>
              </w:rPr>
              <w:t>Příjmy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0"/>
                <w:b/>
                <w:bCs/>
              </w:rPr>
              <w:t>Par Po/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N+Z+Uz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ZJ MU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Původní hodnota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  <w:i/>
                <w:iCs/>
              </w:rPr>
              <w:t>Po změně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Název</w:t>
            </w:r>
          </w:p>
        </w:tc>
      </w:tr>
      <w:tr>
        <w:trPr>
          <w:trHeight w:val="96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left"/>
            </w:pPr>
            <w:r>
              <w:rPr>
                <w:rStyle w:val="CharStyle10"/>
              </w:rPr>
              <w:t>1511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left"/>
            </w:pPr>
            <w:r>
              <w:rPr>
                <w:rStyle w:val="CharStyle10"/>
              </w:rPr>
              <w:t>4111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left"/>
            </w:pPr>
            <w:r>
              <w:rPr>
                <w:rStyle w:val="CharStyle10"/>
              </w:rPr>
              <w:t>4116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rStyle w:val="CharStyle10"/>
              </w:rPr>
              <w:t>98193 170529031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1040" w:right="0" w:hanging="500"/>
              <w:jc w:val="both"/>
            </w:pPr>
            <w:r>
              <w:rPr>
                <w:rStyle w:val="CharStyle10"/>
              </w:rPr>
              <w:t>345 440,00 0,00 0,00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540"/>
              <w:jc w:val="left"/>
            </w:pPr>
            <w:r>
              <w:rPr>
                <w:rStyle w:val="CharStyle10"/>
                <w:b/>
                <w:bCs/>
              </w:rPr>
              <w:t>345 440,00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13 000,00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31 000,00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rStyle w:val="CharStyle10"/>
              </w:rPr>
              <w:t>5 000,00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0"/>
                <w:b/>
                <w:bCs/>
              </w:rPr>
              <w:t>49 000,00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358 440,00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31 000,00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</w:rPr>
              <w:t>394 440,00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Daň z nemovitých věcí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Neinvestiční přijaté transfery z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Ostatní neinvestiční přijaté transfery ze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0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0"/>
                <w:b/>
                <w:bCs/>
              </w:rPr>
              <w:t>345 440,00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  <w:b/>
                <w:bCs/>
              </w:rPr>
              <w:t>49 000,00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</w:rPr>
              <w:t>394 440,00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0"/>
                <w:b/>
                <w:bCs/>
                <w:sz w:val="26"/>
                <w:szCs w:val="26"/>
              </w:rPr>
              <w:t>Výdaje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0"/>
                <w:b/>
                <w:bCs/>
              </w:rPr>
              <w:t>Par Po/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N+Z+Uz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ZJ MU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Původní hodnota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  <w:i/>
                <w:iCs/>
              </w:rPr>
              <w:t>Po změně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Název</w:t>
            </w:r>
          </w:p>
        </w:tc>
      </w:tr>
      <w:tr>
        <w:trPr>
          <w:trHeight w:val="71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98" w:val="right"/>
              </w:tabs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rStyle w:val="CharStyle10"/>
              </w:rPr>
              <w:t>1032 5166</w:t>
              <w:tab/>
              <w:t>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98" w:val="right"/>
              </w:tabs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rStyle w:val="CharStyle10"/>
              </w:rPr>
              <w:t>1032 5169</w:t>
              <w:tab/>
              <w:t>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Celkem za Par: 1032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0"/>
              </w:rPr>
              <w:t>16 700,00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0"/>
              </w:rPr>
              <w:t>30 000,00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0"/>
                <w:b/>
                <w:bCs/>
              </w:rPr>
              <w:t>46 700,00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rStyle w:val="CharStyle10"/>
              </w:rPr>
              <w:t>6 000,00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35 000,00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rStyle w:val="CharStyle10"/>
                <w:b/>
                <w:bCs/>
              </w:rPr>
              <w:t>41000,00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22 700,00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65 000,00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</w:rPr>
              <w:t>87 700,00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Konzultační, poradenské a právní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Nákup ostatních služeb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Podpora ostatních produkčních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rStyle w:val="CharStyle10"/>
              </w:rPr>
              <w:t>3399 5175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Celkem za Par: 3399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</w:pPr>
            <w:r>
              <w:rPr>
                <w:rStyle w:val="CharStyle10"/>
              </w:rPr>
              <w:t>20 000,00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0"/>
                <w:b/>
                <w:bCs/>
              </w:rPr>
              <w:t>20 000,00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rStyle w:val="CharStyle10"/>
              </w:rPr>
              <w:t>6 000,00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0"/>
                <w:b/>
                <w:bCs/>
              </w:rPr>
              <w:t>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26 000,00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</w:rPr>
              <w:t>26 000,00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Pohoštění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Ostatní záležitosti kultury, církví a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51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1)</w:t>
              <w:tab/>
              <w:t>53115321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Celkem za Par: 5311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720"/>
              <w:jc w:val="left"/>
            </w:pPr>
            <w:r>
              <w:rPr>
                <w:rStyle w:val="CharStyle10"/>
              </w:rPr>
              <w:t>2 300,00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10"/>
                <w:b/>
                <w:bCs/>
              </w:rPr>
              <w:t>2 300,00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</w:pPr>
            <w:r>
              <w:rPr>
                <w:rStyle w:val="CharStyle10"/>
              </w:rPr>
              <w:t>2 000,00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0"/>
                <w:b/>
                <w:bCs/>
              </w:rPr>
              <w:t>2 000,00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4 300,00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</w:rPr>
              <w:t>4 300,00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Neinvestiční transfery obcím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</w:rPr>
              <w:t>Bezpečnost a veřejný pořádek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0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0"/>
                <w:b/>
                <w:bCs/>
              </w:rPr>
              <w:t>69 000,00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  <w:b/>
                <w:bCs/>
              </w:rPr>
              <w:t>49 000,00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  <w:b/>
                <w:bCs/>
              </w:rPr>
              <w:t>118 000,00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810"/>
        <w:gridCol w:w="403"/>
        <w:gridCol w:w="706"/>
        <w:gridCol w:w="696"/>
        <w:gridCol w:w="854"/>
        <w:gridCol w:w="1584"/>
        <w:gridCol w:w="1406"/>
        <w:gridCol w:w="3682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2 603 040,00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49 000,00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2 652 040,00 Bez paragrafu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2 603 040,00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49 000,00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2 652 040,00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0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7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0"/>
                <w:b/>
                <w:bCs/>
                <w:i/>
                <w:iCs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1032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290 000,00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41000,00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331000,00 Podpora ostatních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3399 XXXX 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47 800,00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53 800,00 Ostatní záležitosti kultury,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5311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4 300,00 Bezpečnost a veřejný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340 100,00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49 000,00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b/>
                <w:bCs/>
                <w:sz w:val="18"/>
                <w:szCs w:val="18"/>
              </w:rPr>
              <w:t>389 100,00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8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18"/>
        </w:rPr>
        <w:t>ad 1) za přestupky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Zastupitelstvu bylo dáno na vědomí na nejbližším zasedání.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Zpracoval: Marie Vinklerová dne: 01.08.2024</w:t>
      </w:r>
    </w:p>
    <w:sectPr>
      <w:footnotePr>
        <w:pos w:val="pageBottom"/>
        <w:numFmt w:val="decimal"/>
        <w:numRestart w:val="continuous"/>
      </w:footnotePr>
      <w:pgSz w:w="11900" w:h="16840"/>
      <w:pgMar w:top="380" w:right="380" w:bottom="759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62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Rozpoctove_zmeny_s_duvodovou_zpravou2842860883261543413.pdf</dc:title>
  <dc:subject/>
  <dc:creator>Marie Vinklerová</dc:creator>
  <cp:keywords/>
</cp:coreProperties>
</file>