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6311265</wp:posOffset>
                </wp:positionH>
                <wp:positionV relativeFrom="paragraph">
                  <wp:posOffset>12700</wp:posOffset>
                </wp:positionV>
                <wp:extent cx="1005840" cy="1282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KEO4 1.14.13 UR006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94999999999999pt;margin-top:1.pt;width:79.200000000000003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KEO4 1.14.13 UR006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Obec Svatojanský Újezd, IČO 00578606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79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sz w:val="22"/>
          <w:szCs w:val="22"/>
        </w:rPr>
        <w:t>Rozpočtové změny s důvodovou zprávou</w:t>
      </w:r>
    </w:p>
    <w:p>
      <w:pPr>
        <w:pStyle w:val="Style7"/>
        <w:keepNext w:val="0"/>
        <w:keepLines w:val="0"/>
        <w:widowControl w:val="0"/>
        <w:pBdr>
          <w:top w:val="single" w:sz="0" w:space="5" w:color="D5D5D5"/>
          <w:left w:val="single" w:sz="0" w:space="0" w:color="D5D5D5"/>
          <w:bottom w:val="single" w:sz="0" w:space="5" w:color="D5D5D5"/>
          <w:right w:val="single" w:sz="0" w:space="0" w:color="D5D5D5"/>
        </w:pBdr>
        <w:shd w:val="clear" w:color="auto" w:fill="D5D5D5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b/>
          <w:bCs/>
        </w:rPr>
        <w:t>Schválené rozpočtové opatření č. 10/2025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3"/>
        </w:rPr>
        <w:t>Starosta schválil úpravy rozpočtu: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Příjmy</w:t>
      </w:r>
    </w:p>
    <w:tbl>
      <w:tblPr>
        <w:tblOverlap w:val="never"/>
        <w:jc w:val="center"/>
        <w:tblLayout w:type="fixed"/>
      </w:tblPr>
      <w:tblGrid>
        <w:gridCol w:w="1882"/>
        <w:gridCol w:w="600"/>
        <w:gridCol w:w="3202"/>
        <w:gridCol w:w="1315"/>
        <w:gridCol w:w="1229"/>
        <w:gridCol w:w="2914"/>
      </w:tblGrid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Par Pol orgl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org2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N+Z+Uz ZJ MU Původní hodnota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  <w:i/>
                <w:iCs/>
              </w:rPr>
              <w:t>Po změně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Název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1"/>
              </w:rPr>
              <w:t>1111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</w:rPr>
              <w:t>360 500,00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24 000,00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384 500,00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Daň z příjmů fyzických osob placená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1"/>
              </w:rPr>
              <w:t>1112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</w:pPr>
            <w:r>
              <w:rPr>
                <w:rStyle w:val="CharStyle11"/>
              </w:rPr>
              <w:t>24 000,00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13 000,00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37 000,00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Daň z příjmů fyzických osob placená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1"/>
              </w:rPr>
              <w:t>1121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</w:rPr>
              <w:t>542 000,00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28 000,00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570 000,00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Daň z příjmů právnických osob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1"/>
              </w:rPr>
              <w:t>1386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</w:pPr>
            <w:r>
              <w:rPr>
                <w:rStyle w:val="CharStyle11"/>
              </w:rPr>
              <w:t>15 000,00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</w:rPr>
              <w:t>5 000,00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20 000,00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Příjem z daně z hazardních her s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1"/>
              </w:rPr>
              <w:t>1387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Style w:val="CharStyle11"/>
              </w:rPr>
              <w:t>4 800,00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</w:rPr>
              <w:t>2 100,00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6 900,00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Příjem z daně z technických her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Celkem za Par: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  <w:b/>
                <w:bCs/>
              </w:rPr>
              <w:t>946 300,00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72 100,00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1018 400,00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b/>
                <w:bCs/>
              </w:rPr>
              <w:t>příjmy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  <w:b/>
                <w:bCs/>
              </w:rPr>
              <w:t>946 300,00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72 100,00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1018 400,00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Výdaje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  <w:b/>
                <w:bCs/>
              </w:rPr>
              <w:t xml:space="preserve">Par </w:t>
            </w:r>
            <w:r>
              <w:rPr>
                <w:rStyle w:val="CharStyle11"/>
                <w:b/>
                <w:bCs/>
                <w:i/>
                <w:iCs/>
              </w:rPr>
              <w:t>Pol orgl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N+Z+Uz ZJ MU Původní hodnota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  <w:i/>
                <w:iCs/>
              </w:rPr>
              <w:t>Po změně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Název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</w:rPr>
              <w:t>1032 5139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</w:pPr>
            <w:r>
              <w:rPr>
                <w:rStyle w:val="CharStyle11"/>
              </w:rPr>
              <w:t>39 000,00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15 500,00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54 500,00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Nákup materiálu jinde nezařazený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</w:rPr>
              <w:t>1032 5166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20" w:right="0" w:firstLine="0"/>
              <w:jc w:val="left"/>
            </w:pPr>
            <w:r>
              <w:rPr>
                <w:rStyle w:val="CharStyle11"/>
              </w:rPr>
              <w:t>21 000,00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20 100,00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41100,00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Konzultační, poradenské a právní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</w:rPr>
              <w:t>1032 5169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</w:rPr>
              <w:t>440 100,00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</w:rPr>
              <w:t>36 500,00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476 600,00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Nákup ostatních služeb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Celkem za Par: 1032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  <w:b/>
                <w:bCs/>
              </w:rPr>
              <w:t>500 100,00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72 100,00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572 200,00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Podpora ostatních produkčních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b/>
                <w:bCs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1"/>
                <w:b/>
                <w:bCs/>
              </w:rPr>
              <w:t>500 100,00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72 100,00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572 200,00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Změna závazných ukazatelů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6"/>
          <w:szCs w:val="26"/>
        </w:rPr>
      </w:pPr>
      <w:r>
        <w:rPr>
          <w:rStyle w:val="CharStyle8"/>
          <w:b/>
          <w:bCs/>
          <w:sz w:val="26"/>
          <w:szCs w:val="26"/>
        </w:rPr>
        <w:t>Příjmy</w:t>
      </w:r>
    </w:p>
    <w:tbl>
      <w:tblPr>
        <w:tblOverlap w:val="never"/>
        <w:jc w:val="center"/>
        <w:tblLayout w:type="fixed"/>
      </w:tblPr>
      <w:tblGrid>
        <w:gridCol w:w="1805"/>
        <w:gridCol w:w="413"/>
        <w:gridCol w:w="1397"/>
        <w:gridCol w:w="854"/>
        <w:gridCol w:w="1589"/>
        <w:gridCol w:w="1397"/>
        <w:gridCol w:w="3686"/>
      </w:tblGrid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Par Pol Nst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Zdr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Uz orgl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org2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Původní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Změna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Pozměně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0000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XXXXX 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3 127 000,00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72 100,00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3 199 100,00 Bez paragrafu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Příjmy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3 127 000,00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72 100,00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3 199 100,00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Výdaje</w:t>
            </w:r>
          </w:p>
        </w:tc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Uz orgl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i/>
                <w:iCs/>
                <w:sz w:val="18"/>
                <w:szCs w:val="18"/>
              </w:rPr>
              <w:t>Pozměně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1032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XXXXX 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544 000,00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72 100,00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616 100,00 Podpora ostatních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544 000,00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72 100,00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b/>
                <w:bCs/>
                <w:sz w:val="17"/>
                <w:szCs w:val="17"/>
              </w:rPr>
              <w:t>616 100,00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both"/>
      </w:pPr>
      <w:r>
        <w:rPr>
          <w:rStyle w:val="CharStyle5"/>
          <w:b/>
          <w:bCs/>
        </w:rPr>
        <w:t>Důvodová zpráva k rozpočtovému opatření č. 10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V souladu s ustanovením § 16 zákona č.250/2000 Sb., o rozpočtových pravidlech územních rozpočtů dojde k rozpočtovému opatření v případě změn rozpočtových prostředků na závazných ukazatelích (např. změna objemu nebo přesuny mezi ukazateli).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Zastupitelstvu bylo dáno na vědomí na nejbližším zasedání.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8"/>
        </w:rPr>
        <w:t>Zpracoval: Marie Vinklerová dne: 14.01.2026</w:t>
      </w:r>
    </w:p>
    <w:sectPr>
      <w:footnotePr>
        <w:pos w:val="pageBottom"/>
        <w:numFmt w:val="decimal"/>
        <w:numRestart w:val="continuous"/>
      </w:footnotePr>
      <w:pgSz w:w="11900" w:h="16840"/>
      <w:pgMar w:top="375" w:right="377" w:bottom="764" w:left="3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spacing w:after="87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auto"/>
      <w:spacing w:after="12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Rozpoctove_zmeny_s_duvodovou_zpravou15877043511030640557.pdf</dc:title>
  <dc:subject/>
  <dc:creator>Marie VinklerovÃ¡</dc:creator>
  <cp:keywords/>
</cp:coreProperties>
</file>